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32" w:rsidRPr="008839B9" w:rsidRDefault="00392F32" w:rsidP="00392F32">
      <w:pPr>
        <w:jc w:val="center"/>
        <w:rPr>
          <w:rFonts w:ascii="Arial" w:hAnsi="Arial" w:cs="Arial"/>
          <w:b/>
        </w:rPr>
      </w:pPr>
      <w:r w:rsidRPr="008839B9">
        <w:rPr>
          <w:rFonts w:ascii="Arial" w:hAnsi="Arial" w:cs="Arial"/>
          <w:b/>
        </w:rPr>
        <w:t>Resolución N° 222/02</w:t>
      </w:r>
    </w:p>
    <w:p w:rsidR="00392F32" w:rsidRPr="008839B9" w:rsidRDefault="00392F32" w:rsidP="00392F32">
      <w:pPr>
        <w:jc w:val="center"/>
        <w:rPr>
          <w:rFonts w:ascii="Arial" w:hAnsi="Arial" w:cs="Arial"/>
          <w:b/>
        </w:rPr>
      </w:pPr>
    </w:p>
    <w:p w:rsidR="00392F32" w:rsidRPr="008839B9" w:rsidRDefault="00392F32" w:rsidP="00392F32">
      <w:pPr>
        <w:jc w:val="center"/>
        <w:rPr>
          <w:rFonts w:ascii="Arial" w:hAnsi="Arial" w:cs="Arial"/>
          <w:b/>
        </w:rPr>
      </w:pPr>
      <w:r w:rsidRPr="008839B9">
        <w:rPr>
          <w:rFonts w:ascii="Arial" w:hAnsi="Arial" w:cs="Arial"/>
          <w:b/>
        </w:rPr>
        <w:t>POR LA CUAL SE ESTABLECE EL PADRON DE CALIDAD DE LAS AGUAS EN EL TERRITORIO NACIONAL</w:t>
      </w:r>
    </w:p>
    <w:p w:rsidR="00392F32" w:rsidRPr="008839B9" w:rsidRDefault="00392F32" w:rsidP="00392F32">
      <w:pPr>
        <w:jc w:val="right"/>
        <w:rPr>
          <w:rFonts w:ascii="Arial" w:hAnsi="Arial" w:cs="Arial"/>
          <w:b/>
        </w:rPr>
      </w:pPr>
    </w:p>
    <w:p w:rsidR="00392F32" w:rsidRPr="008839B9" w:rsidRDefault="00392F32" w:rsidP="00392F32">
      <w:pPr>
        <w:jc w:val="right"/>
        <w:rPr>
          <w:rFonts w:ascii="Arial" w:hAnsi="Arial" w:cs="Arial"/>
          <w:b/>
        </w:rPr>
      </w:pPr>
      <w:r w:rsidRPr="008839B9">
        <w:rPr>
          <w:rFonts w:ascii="Arial" w:hAnsi="Arial" w:cs="Arial"/>
          <w:b/>
        </w:rPr>
        <w:t>Asunción, 22 de abril de 2002</w:t>
      </w:r>
    </w:p>
    <w:p w:rsidR="00392F32" w:rsidRPr="008839B9" w:rsidRDefault="00392F32" w:rsidP="00392F32">
      <w:pPr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VISTO: La necesidad de establecer, un padrón de calidad de agua esencial para la defensa de los niveles de calidad basados en parámetros e indicadores específicos, de modo de asegurar sus usos preponderantes, y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CONSIDERANDO: Que, la salud es el bienestar del ser humano, bien como equilibrio ecológico, no debe ser afectado como consecuencia del deterioro de la calidad de las aguas,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Que, los costos del control de la polución pueden ser mejor adecuados, cuando los niveles de calidad exigidos para un determinado cuerpo de agua o sus diferentes trechos, están de acuerdo con los usos que se pretende dar a los mismos.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Que, la clasificación de los cuerpos de aguas debe ser compatible fundamentalmente, los niveles de calidad que deberían de poseer para atender las necesidades de la comunidad.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Que, la necesidad de crear instrumentos para evaluar la evolución de la calidad de las aguas, con relación a los niveles establecidos en la clasificación, de forma a facilitar los controles de metas fijando atender gradualmente los objetivos permanentes.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Que, el desarrollo industrial y usos de defensivos agrícolas que pueden encontrarse actualmente en el país.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Que la necesidad de reformular, periódicamente, el padrón de calidad de agua, de acuerdo con la evolución industrial y tecnológica bien como socioeconómica;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Que de conformidad al Art. 18 cinc. g) de la Ley 1561/00, es atribución del Secretario Ejecutivo dictar todas las Resoluciones que sean necesarias para la consecución de los fines de la Secretaria, pudiendo establecer los reglamentos internos necesarios para su funcionamiento.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POR TANTO, en uso de sus atribuciones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EL SECRETARIO EJECUTIVO DE LA SECRETARIA DEL AMBIENTE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RESUELVE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Art. 1°: Son clasificadas, según sus usos preponderantes, en 4 clases del Territorio Nacional.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lastRenderedPageBreak/>
        <w:t>1 Clase 1- Aguas destinadas: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a) Los abastecimientos domésticos después del tratamiento simplificado;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b) La protección de las comunidades acuáticas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c) Las recreaciones de contacto primario (natación, esquí-acuático)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d) La irrigación de hortalizas que son consumidas crudas, las frutas que crecen en los suelos y que sean injeridas crudas sin la remoción de la película.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e) La cría natural y/o intensiva (acuicultura), de especies destinadas para la alimentación humana.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2 Clase 2- Aguas destinadas: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a) Para abastecimiento domestico después de los tratamientos convencionales: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b) Para protección de las comunidades acuáticas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c) Para recreación de contacto primario (esquí acuático, natación)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d) La irrigación de hortalizas que son consumidas crudas, las frutas que crecen en los suelos y que sean injeridas crudas sin la remoción de la película.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e) La cría natural y/o intensiva (acuicultura), de especies destinadas para la alimentación humana.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3 Clase 3- Aguas destinadas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a) En abastecimiento domestico, después del tratamiento especial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b) Para irrigación arbórea, jardín y forrajearas.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c) Para recreación de contacto secundario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4 Clase 4- Aguas destinadas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a) Para la navegación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b) Para la armonía paisajística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c) Para los usos menos exigentes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Parágrafo único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Los niveles de tratamiento que fueron indicados anteriormente, para abasteciendo público representan: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Tratamiento simplificado, cloración y/o filtración</w:t>
      </w:r>
    </w:p>
    <w:p w:rsidR="00392F32" w:rsidRPr="008839B9" w:rsidRDefault="00392F32" w:rsidP="00392F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Tratamiento convencional; coagulación, decantación, filtración o cloración.</w:t>
      </w:r>
    </w:p>
    <w:p w:rsidR="00392F32" w:rsidRPr="008839B9" w:rsidRDefault="00392F32" w:rsidP="00392F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Tratamiento especial, tratamiento convencional + ozonización, aplicación de carbón activado y otros procesos para poder garantizar la calidad de las aguas para abastecimiento </w:t>
      </w:r>
      <w:proofErr w:type="spellStart"/>
      <w:r w:rsidRPr="008839B9">
        <w:rPr>
          <w:rFonts w:ascii="Arial" w:hAnsi="Arial" w:cs="Arial"/>
        </w:rPr>
        <w:t>publico</w:t>
      </w:r>
      <w:proofErr w:type="spellEnd"/>
      <w:r w:rsidRPr="008839B9">
        <w:rPr>
          <w:rFonts w:ascii="Arial" w:hAnsi="Arial" w:cs="Arial"/>
        </w:rPr>
        <w:t>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Art. 2°: Para agua de Clase 1, son establecidos los límites y/o condiciones siguientes: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Materias fluctuantes, inclusive espumas no naturales; virtualmente ausentes;</w:t>
      </w:r>
    </w:p>
    <w:p w:rsidR="00392F32" w:rsidRPr="008839B9" w:rsidRDefault="00392F32" w:rsidP="00392F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Aceites y Grases: virtualmente ausentes</w:t>
      </w:r>
    </w:p>
    <w:p w:rsidR="00392F32" w:rsidRPr="008839B9" w:rsidRDefault="00392F32" w:rsidP="00392F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Sustancias que comuniquen sabor y olor</w:t>
      </w:r>
    </w:p>
    <w:p w:rsidR="00392F32" w:rsidRPr="008839B9" w:rsidRDefault="00392F32" w:rsidP="00392F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Colorantes artificiales: virtualmente ausentes</w:t>
      </w:r>
    </w:p>
    <w:p w:rsidR="00392F32" w:rsidRPr="008839B9" w:rsidRDefault="00392F32" w:rsidP="00392F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Sustancias que formen depósitos objetables: virtualmente ausentes</w:t>
      </w:r>
    </w:p>
    <w:p w:rsidR="00392F32" w:rsidRPr="008839B9" w:rsidRDefault="00392F32" w:rsidP="00392F32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lastRenderedPageBreak/>
        <w:t>Coliformes</w:t>
      </w:r>
      <w:proofErr w:type="spellEnd"/>
      <w:r w:rsidRPr="008839B9">
        <w:rPr>
          <w:rFonts w:ascii="Arial" w:hAnsi="Arial" w:cs="Arial"/>
        </w:rPr>
        <w:t xml:space="preserve">: Para el uso de recreación de contacto primario, se tendrá en cuenta lo establecido en el Art. 6 de esta resolución. Las aguas utilizadas para la irrigación de hortalizas o plantas fructíferas que se manejan en el suelo y que son consumidas crudas, sin remoción de las cáscaras o la película, no deben ser </w:t>
      </w:r>
      <w:proofErr w:type="spellStart"/>
      <w:r w:rsidRPr="008839B9">
        <w:rPr>
          <w:rFonts w:ascii="Arial" w:hAnsi="Arial" w:cs="Arial"/>
        </w:rPr>
        <w:t>poluidas</w:t>
      </w:r>
      <w:proofErr w:type="spellEnd"/>
      <w:r w:rsidRPr="008839B9">
        <w:rPr>
          <w:rFonts w:ascii="Arial" w:hAnsi="Arial" w:cs="Arial"/>
        </w:rPr>
        <w:t xml:space="preserve"> por excrementos humanos, atendiendo a la necesidad de una inspección sanitaria periódica.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Para los demás usos, no deberán ser excedidos en el límite de 200 </w:t>
      </w:r>
      <w:proofErr w:type="spellStart"/>
      <w:r w:rsidRPr="008839B9">
        <w:rPr>
          <w:rFonts w:ascii="Arial" w:hAnsi="Arial" w:cs="Arial"/>
        </w:rPr>
        <w:t>coliformes</w:t>
      </w:r>
      <w:proofErr w:type="spellEnd"/>
      <w:r w:rsidRPr="008839B9">
        <w:rPr>
          <w:rFonts w:ascii="Arial" w:hAnsi="Arial" w:cs="Arial"/>
        </w:rPr>
        <w:t xml:space="preserve"> fecales por 100 ml. En 80 % o más de por lo menos 5 muestras mensuales recolectando en cualquier mes: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DBO: hasta 3 mg/l</w:t>
      </w:r>
    </w:p>
    <w:p w:rsidR="00392F32" w:rsidRPr="008839B9" w:rsidRDefault="00392F32" w:rsidP="00392F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OD: en cualquier muestra, no inferior a 6 mg/l</w:t>
      </w:r>
    </w:p>
    <w:p w:rsidR="00392F32" w:rsidRPr="008839B9" w:rsidRDefault="00392F32" w:rsidP="00392F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Turbidez: hasta 40 unidades </w:t>
      </w:r>
      <w:proofErr w:type="spellStart"/>
      <w:r w:rsidRPr="008839B9">
        <w:rPr>
          <w:rFonts w:ascii="Arial" w:hAnsi="Arial" w:cs="Arial"/>
        </w:rPr>
        <w:t>nefelometrica</w:t>
      </w:r>
      <w:proofErr w:type="spellEnd"/>
      <w:r w:rsidRPr="008839B9">
        <w:rPr>
          <w:rFonts w:ascii="Arial" w:hAnsi="Arial" w:cs="Arial"/>
        </w:rPr>
        <w:t xml:space="preserve"> de turbidez (UNT)</w:t>
      </w:r>
    </w:p>
    <w:p w:rsidR="00392F32" w:rsidRPr="008839B9" w:rsidRDefault="00392F32" w:rsidP="00392F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Color: hasta 15 </w:t>
      </w:r>
      <w:proofErr w:type="spellStart"/>
      <w:r w:rsidRPr="008839B9">
        <w:rPr>
          <w:rFonts w:ascii="Arial" w:hAnsi="Arial" w:cs="Arial"/>
        </w:rPr>
        <w:t>mgPt</w:t>
      </w:r>
      <w:proofErr w:type="spellEnd"/>
      <w:r w:rsidRPr="008839B9">
        <w:rPr>
          <w:rFonts w:ascii="Arial" w:hAnsi="Arial" w:cs="Arial"/>
        </w:rPr>
        <w:t>/l</w:t>
      </w:r>
    </w:p>
    <w:p w:rsidR="00392F32" w:rsidRPr="008839B9" w:rsidRDefault="00392F32" w:rsidP="00392F32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Ph</w:t>
      </w:r>
      <w:proofErr w:type="spellEnd"/>
      <w:r w:rsidRPr="008839B9">
        <w:rPr>
          <w:rFonts w:ascii="Arial" w:hAnsi="Arial" w:cs="Arial"/>
        </w:rPr>
        <w:t>: 6,0-9,0</w:t>
      </w:r>
    </w:p>
    <w:p w:rsidR="00392F32" w:rsidRPr="008839B9" w:rsidRDefault="00392F32" w:rsidP="00392F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Sustancias potencialmente perjudiciales (tenores máximos permisibles):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Inorgánicos (mg/l)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Aluminio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0,2 Al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Amonio no ionizable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0,02 NH3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Cloratos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250 CL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Hierro Soluble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 3 Fe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Sólido disuelto total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0,025 P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Nitrógeno Total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0,30  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Sulfatos 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250 S04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Nitrato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10 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Nitrito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1,0 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Sodio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 xml:space="preserve">200 </w:t>
      </w:r>
      <w:proofErr w:type="spellStart"/>
      <w:r w:rsidRPr="008839B9">
        <w:rPr>
          <w:rFonts w:ascii="Arial" w:hAnsi="Arial" w:cs="Arial"/>
        </w:rPr>
        <w:t>Na</w:t>
      </w:r>
      <w:proofErr w:type="spellEnd"/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Dureza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300 Ca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Selenio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0,01 Se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Manganeso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0,1 Mn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Bario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2, 0 Ba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Arsénico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0,01 As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Cianatos (como cianato libre) 0, 2 CN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Plomo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 01 Pb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Cadmio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0,001 Cd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Cobre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1,0 Cu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Cromo trivalente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0,5 Cr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Cromo hexavalente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0,05 Cr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Estaño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2,0 Sn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Mercurio inorgánico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0,002 Hg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Mercurio orgánico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cero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Niquel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0,025 Ni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Zinc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3,0 Zn</w:t>
      </w:r>
    </w:p>
    <w:p w:rsidR="00392F32" w:rsidRPr="008839B9" w:rsidRDefault="00392F32" w:rsidP="00392F32">
      <w:pPr>
        <w:jc w:val="both"/>
        <w:rPr>
          <w:rFonts w:ascii="Arial" w:hAnsi="Arial" w:cs="Arial"/>
          <w:b/>
        </w:rPr>
      </w:pPr>
      <w:r w:rsidRPr="008839B9">
        <w:rPr>
          <w:rFonts w:ascii="Arial" w:hAnsi="Arial" w:cs="Arial"/>
          <w:b/>
        </w:rPr>
        <w:t>Compuestos Orgánicos (mg/l)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Diquat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0,02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Antracina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0,003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2,4 D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0, 03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lastRenderedPageBreak/>
        <w:t>Glifozato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0,7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Alaclor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cero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Trifluralina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0,02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Propanil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0,02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Picloran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0,5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Bentazón</w:t>
      </w:r>
      <w:proofErr w:type="spellEnd"/>
      <w:r w:rsidRPr="008839B9">
        <w:rPr>
          <w:rFonts w:ascii="Arial" w:hAnsi="Arial" w:cs="Arial"/>
        </w:rPr>
        <w:t xml:space="preserve"> 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0,03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Carbofuran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0,04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Endosulfan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0,056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Enithothion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0,003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DDVP (</w:t>
      </w:r>
      <w:proofErr w:type="spellStart"/>
      <w:r w:rsidRPr="008839B9">
        <w:rPr>
          <w:rFonts w:ascii="Arial" w:hAnsi="Arial" w:cs="Arial"/>
        </w:rPr>
        <w:t>dicholorvos</w:t>
      </w:r>
      <w:proofErr w:type="spellEnd"/>
      <w:r w:rsidRPr="008839B9">
        <w:rPr>
          <w:rFonts w:ascii="Arial" w:hAnsi="Arial" w:cs="Arial"/>
        </w:rPr>
        <w:t>)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0,01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Diazion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0,005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Simazina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0,004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Chlordane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cero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DDT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0,002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Endrin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0,002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Heptaclor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cero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Lindano</w:t>
      </w:r>
      <w:proofErr w:type="spellEnd"/>
      <w:r w:rsidRPr="008839B9">
        <w:rPr>
          <w:rFonts w:ascii="Arial" w:hAnsi="Arial" w:cs="Arial"/>
        </w:rPr>
        <w:t xml:space="preserve"> (BHC)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0,0002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Methoxyclor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0,04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Dioxina (2</w:t>
      </w:r>
      <w:proofErr w:type="gramStart"/>
      <w:r w:rsidRPr="008839B9">
        <w:rPr>
          <w:rFonts w:ascii="Arial" w:hAnsi="Arial" w:cs="Arial"/>
        </w:rPr>
        <w:t>,3,7,8</w:t>
      </w:r>
      <w:proofErr w:type="gramEnd"/>
      <w:r w:rsidRPr="008839B9">
        <w:rPr>
          <w:rFonts w:ascii="Arial" w:hAnsi="Arial" w:cs="Arial"/>
        </w:rPr>
        <w:t>-TCDD)</w:t>
      </w:r>
      <w:r w:rsidRPr="008839B9">
        <w:rPr>
          <w:rFonts w:ascii="Arial" w:hAnsi="Arial" w:cs="Arial"/>
        </w:rPr>
        <w:tab/>
        <w:t>cero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PCBs</w:t>
      </w:r>
      <w:proofErr w:type="spellEnd"/>
      <w:r w:rsidRPr="008839B9">
        <w:rPr>
          <w:rFonts w:ascii="Arial" w:hAnsi="Arial" w:cs="Arial"/>
        </w:rPr>
        <w:t xml:space="preserve"> (</w:t>
      </w:r>
      <w:proofErr w:type="spellStart"/>
      <w:r w:rsidRPr="008839B9">
        <w:rPr>
          <w:rFonts w:ascii="Arial" w:hAnsi="Arial" w:cs="Arial"/>
        </w:rPr>
        <w:t>bifenil</w:t>
      </w:r>
      <w:proofErr w:type="spellEnd"/>
      <w:r w:rsidRPr="008839B9">
        <w:rPr>
          <w:rFonts w:ascii="Arial" w:hAnsi="Arial" w:cs="Arial"/>
        </w:rPr>
        <w:t xml:space="preserve"> </w:t>
      </w:r>
      <w:proofErr w:type="spellStart"/>
      <w:r w:rsidRPr="008839B9">
        <w:rPr>
          <w:rFonts w:ascii="Arial" w:hAnsi="Arial" w:cs="Arial"/>
        </w:rPr>
        <w:t>policlorados</w:t>
      </w:r>
      <w:proofErr w:type="spellEnd"/>
      <w:r w:rsidRPr="008839B9">
        <w:rPr>
          <w:rFonts w:ascii="Arial" w:hAnsi="Arial" w:cs="Arial"/>
        </w:rPr>
        <w:t>)</w:t>
      </w:r>
      <w:r w:rsidRPr="008839B9">
        <w:rPr>
          <w:rFonts w:ascii="Arial" w:hAnsi="Arial" w:cs="Arial"/>
        </w:rPr>
        <w:tab/>
        <w:t>cero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Benzo</w:t>
      </w:r>
      <w:proofErr w:type="spellEnd"/>
      <w:r w:rsidRPr="008839B9">
        <w:rPr>
          <w:rFonts w:ascii="Arial" w:hAnsi="Arial" w:cs="Arial"/>
        </w:rPr>
        <w:t xml:space="preserve"> (a) </w:t>
      </w:r>
      <w:proofErr w:type="spellStart"/>
      <w:r w:rsidRPr="008839B9">
        <w:rPr>
          <w:rFonts w:ascii="Arial" w:hAnsi="Arial" w:cs="Arial"/>
        </w:rPr>
        <w:t>pireno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0,0007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Etilbenzeno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cero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Tricloroetileno</w:t>
      </w:r>
      <w:proofErr w:type="spellEnd"/>
      <w:r w:rsidRPr="008839B9">
        <w:rPr>
          <w:rFonts w:ascii="Arial" w:hAnsi="Arial" w:cs="Arial"/>
        </w:rPr>
        <w:t xml:space="preserve"> 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cero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Trihalometano</w:t>
      </w:r>
      <w:proofErr w:type="spellEnd"/>
      <w:r w:rsidRPr="008839B9">
        <w:rPr>
          <w:rFonts w:ascii="Arial" w:hAnsi="Arial" w:cs="Arial"/>
        </w:rPr>
        <w:t xml:space="preserve"> total (</w:t>
      </w:r>
      <w:proofErr w:type="spellStart"/>
      <w:r w:rsidRPr="008839B9">
        <w:rPr>
          <w:rFonts w:ascii="Arial" w:hAnsi="Arial" w:cs="Arial"/>
        </w:rPr>
        <w:t>TTHMs</w:t>
      </w:r>
      <w:proofErr w:type="spellEnd"/>
      <w:r w:rsidRPr="008839B9">
        <w:rPr>
          <w:rFonts w:ascii="Arial" w:hAnsi="Arial" w:cs="Arial"/>
        </w:rPr>
        <w:t>) 0,1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Micocistina</w:t>
      </w:r>
      <w:proofErr w:type="spellEnd"/>
      <w:r w:rsidRPr="008839B9">
        <w:rPr>
          <w:rFonts w:ascii="Arial" w:hAnsi="Arial" w:cs="Arial"/>
        </w:rPr>
        <w:t xml:space="preserve"> LR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0,001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Art. 3° Para las aguas de Clase 2, son establecidos los mismos limistes en las condiciones de Clase 1, a exención de las siguientes condiciones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No será permitida la presencia de colorantes artificiales que no sean removidos por procesos de coagulación, sedimentación y filtración convencional</w:t>
      </w:r>
    </w:p>
    <w:p w:rsidR="00392F32" w:rsidRPr="008839B9" w:rsidRDefault="00392F32" w:rsidP="00392F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Coniformes para uso de recreación de contacto primario deberá ser cumplido con el Art. 6 de esta resolución. Para los demás usos, no deberá ser excedido en el </w:t>
      </w:r>
      <w:proofErr w:type="spellStart"/>
      <w:r w:rsidRPr="008839B9">
        <w:rPr>
          <w:rFonts w:ascii="Arial" w:hAnsi="Arial" w:cs="Arial"/>
        </w:rPr>
        <w:t>limite</w:t>
      </w:r>
      <w:proofErr w:type="spellEnd"/>
      <w:r w:rsidRPr="008839B9">
        <w:rPr>
          <w:rFonts w:ascii="Arial" w:hAnsi="Arial" w:cs="Arial"/>
        </w:rPr>
        <w:t xml:space="preserve"> de 1000 </w:t>
      </w:r>
      <w:proofErr w:type="spellStart"/>
      <w:r w:rsidRPr="008839B9">
        <w:rPr>
          <w:rFonts w:ascii="Arial" w:hAnsi="Arial" w:cs="Arial"/>
        </w:rPr>
        <w:t>coliformes</w:t>
      </w:r>
      <w:proofErr w:type="spellEnd"/>
      <w:r w:rsidRPr="008839B9">
        <w:rPr>
          <w:rFonts w:ascii="Arial" w:hAnsi="Arial" w:cs="Arial"/>
        </w:rPr>
        <w:t xml:space="preserve"> por  100 ml en 80 % o </w:t>
      </w:r>
      <w:proofErr w:type="spellStart"/>
      <w:r w:rsidRPr="008839B9">
        <w:rPr>
          <w:rFonts w:ascii="Arial" w:hAnsi="Arial" w:cs="Arial"/>
        </w:rPr>
        <w:t>mas</w:t>
      </w:r>
      <w:proofErr w:type="spellEnd"/>
      <w:r w:rsidRPr="008839B9">
        <w:rPr>
          <w:rFonts w:ascii="Arial" w:hAnsi="Arial" w:cs="Arial"/>
        </w:rPr>
        <w:t xml:space="preserve"> de por lo menos 5 muestras mensuales,</w:t>
      </w:r>
    </w:p>
    <w:p w:rsidR="00392F32" w:rsidRPr="008839B9" w:rsidRDefault="00392F32" w:rsidP="00392F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Color:  hasta 75 Pt/l</w:t>
      </w:r>
    </w:p>
    <w:p w:rsidR="00392F32" w:rsidRPr="008839B9" w:rsidRDefault="00392F32" w:rsidP="00392F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Turbidez: hasta 100 UNT</w:t>
      </w:r>
    </w:p>
    <w:p w:rsidR="00392F32" w:rsidRPr="008839B9" w:rsidRDefault="00392F32" w:rsidP="00392F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DBO 5d 20° C hasta 5 mg/l</w:t>
      </w:r>
    </w:p>
    <w:p w:rsidR="00392F32" w:rsidRPr="008839B9" w:rsidRDefault="00392F32" w:rsidP="00392F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OD, en cualquier muestra: no inferior a 5 mg/l O2</w:t>
      </w:r>
    </w:p>
    <w:p w:rsidR="00392F32" w:rsidRPr="008839B9" w:rsidRDefault="00392F32" w:rsidP="00392F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Fosforo Total o Nitrógeno Total: respectivamente hasta 0,05 mg/l e 0,6 mg/l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Art. 4°: Para las aguas de Clase 3 son establecidos los </w:t>
      </w:r>
      <w:proofErr w:type="gramStart"/>
      <w:r w:rsidRPr="008839B9">
        <w:rPr>
          <w:rFonts w:ascii="Arial" w:hAnsi="Arial" w:cs="Arial"/>
        </w:rPr>
        <w:t>limites</w:t>
      </w:r>
      <w:proofErr w:type="gramEnd"/>
      <w:r w:rsidRPr="008839B9">
        <w:rPr>
          <w:rFonts w:ascii="Arial" w:hAnsi="Arial" w:cs="Arial"/>
        </w:rPr>
        <w:t xml:space="preserve"> en las siguientes condiciones.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número de coniformes fecales: hasta 4000, por 100 ml en 80 % en las muestras</w:t>
      </w:r>
    </w:p>
    <w:p w:rsidR="00392F32" w:rsidRPr="008839B9" w:rsidRDefault="00392F32" w:rsidP="00392F3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DBO 5d e 20°C hasta 10 mg/l</w:t>
      </w:r>
    </w:p>
    <w:p w:rsidR="00392F32" w:rsidRPr="008839B9" w:rsidRDefault="00392F32" w:rsidP="00392F3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OD, en cualquier, no inferior a 4 mg/l</w:t>
      </w:r>
    </w:p>
    <w:p w:rsidR="00392F32" w:rsidRPr="008839B9" w:rsidRDefault="00392F32" w:rsidP="00392F3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lastRenderedPageBreak/>
        <w:t>Turbidez: hasta 100 UTN</w:t>
      </w:r>
    </w:p>
    <w:p w:rsidR="00392F32" w:rsidRPr="008839B9" w:rsidRDefault="00392F32" w:rsidP="00392F3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Color: hasta 75 mg/l</w:t>
      </w:r>
    </w:p>
    <w:p w:rsidR="00392F32" w:rsidRPr="008839B9" w:rsidRDefault="00392F32" w:rsidP="00392F32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Ph</w:t>
      </w:r>
      <w:proofErr w:type="spellEnd"/>
      <w:r w:rsidRPr="008839B9">
        <w:rPr>
          <w:rFonts w:ascii="Arial" w:hAnsi="Arial" w:cs="Arial"/>
        </w:rPr>
        <w:t>: 6,0 a 9,0</w:t>
      </w:r>
    </w:p>
    <w:p w:rsidR="00392F32" w:rsidRPr="008839B9" w:rsidRDefault="00392F32" w:rsidP="00392F3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Substancias potencialmente perjudiciales (tenores máximos permisibles)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Aluminio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0,2 Al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Cloratos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250 CL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Hierro Soluble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 3 Fe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Sólido disuelto total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500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Sulfatos 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250 S04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Nitrato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10 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Nitrito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10 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Sodio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 xml:space="preserve">200 </w:t>
      </w:r>
      <w:proofErr w:type="spellStart"/>
      <w:r w:rsidRPr="008839B9">
        <w:rPr>
          <w:rFonts w:ascii="Arial" w:hAnsi="Arial" w:cs="Arial"/>
        </w:rPr>
        <w:t>Na</w:t>
      </w:r>
      <w:proofErr w:type="spellEnd"/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Dureza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300 Ca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Selenio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0,01 Se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Manganeso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0,1 Mn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Bario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1, 0 Ba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Arsénico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0,05 As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Cianatos (como cianato libre) 0, 2 CN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Plomo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 03 Pb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Cadmio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0,001 Cd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Cobre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1,0 Cu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Cromo trivalente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0,5 Cr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Cromo hexavalente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0,05 Cr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Estaño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2,0 Sn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Mercurio inorgánico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0,002 Hg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Niquel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0,002 Ni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Zinc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3,0 Zn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Na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 xml:space="preserve">200 </w:t>
      </w:r>
      <w:proofErr w:type="spellStart"/>
      <w:r w:rsidRPr="008839B9">
        <w:rPr>
          <w:rFonts w:ascii="Arial" w:hAnsi="Arial" w:cs="Arial"/>
        </w:rPr>
        <w:t>Na</w:t>
      </w:r>
      <w:proofErr w:type="spellEnd"/>
    </w:p>
    <w:p w:rsidR="00392F32" w:rsidRPr="008839B9" w:rsidRDefault="00392F32" w:rsidP="00392F32">
      <w:pPr>
        <w:jc w:val="both"/>
        <w:rPr>
          <w:rFonts w:ascii="Arial" w:hAnsi="Arial" w:cs="Arial"/>
          <w:b/>
        </w:rPr>
      </w:pPr>
      <w:r w:rsidRPr="008839B9">
        <w:rPr>
          <w:rFonts w:ascii="Arial" w:hAnsi="Arial" w:cs="Arial"/>
          <w:b/>
        </w:rPr>
        <w:t>Compuestos Orgánicos (mg/l)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Dioxina (2</w:t>
      </w:r>
      <w:proofErr w:type="gramStart"/>
      <w:r w:rsidRPr="008839B9">
        <w:rPr>
          <w:rFonts w:ascii="Arial" w:hAnsi="Arial" w:cs="Arial"/>
        </w:rPr>
        <w:t>,3,7,8</w:t>
      </w:r>
      <w:proofErr w:type="gramEnd"/>
      <w:r w:rsidRPr="008839B9">
        <w:rPr>
          <w:rFonts w:ascii="Arial" w:hAnsi="Arial" w:cs="Arial"/>
        </w:rPr>
        <w:t xml:space="preserve"> –TCDD)</w:t>
      </w:r>
      <w:r w:rsidRPr="008839B9">
        <w:rPr>
          <w:rFonts w:ascii="Arial" w:hAnsi="Arial" w:cs="Arial"/>
        </w:rPr>
        <w:tab/>
        <w:t>cero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Bifenil</w:t>
      </w:r>
      <w:proofErr w:type="spellEnd"/>
      <w:r w:rsidRPr="008839B9">
        <w:rPr>
          <w:rFonts w:ascii="Arial" w:hAnsi="Arial" w:cs="Arial"/>
        </w:rPr>
        <w:t xml:space="preserve"> </w:t>
      </w:r>
      <w:proofErr w:type="spellStart"/>
      <w:r w:rsidRPr="008839B9">
        <w:rPr>
          <w:rFonts w:ascii="Arial" w:hAnsi="Arial" w:cs="Arial"/>
        </w:rPr>
        <w:t>Policlorados</w:t>
      </w:r>
      <w:proofErr w:type="spellEnd"/>
      <w:r w:rsidRPr="008839B9">
        <w:rPr>
          <w:rFonts w:ascii="Arial" w:hAnsi="Arial" w:cs="Arial"/>
        </w:rPr>
        <w:t xml:space="preserve"> (</w:t>
      </w:r>
      <w:proofErr w:type="spellStart"/>
      <w:r w:rsidRPr="008839B9">
        <w:rPr>
          <w:rFonts w:ascii="Arial" w:hAnsi="Arial" w:cs="Arial"/>
        </w:rPr>
        <w:t>PCBs</w:t>
      </w:r>
      <w:proofErr w:type="spellEnd"/>
      <w:r w:rsidRPr="008839B9">
        <w:rPr>
          <w:rFonts w:ascii="Arial" w:hAnsi="Arial" w:cs="Arial"/>
        </w:rPr>
        <w:t>) cero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Benzo</w:t>
      </w:r>
      <w:proofErr w:type="spellEnd"/>
      <w:r w:rsidRPr="008839B9">
        <w:rPr>
          <w:rFonts w:ascii="Arial" w:hAnsi="Arial" w:cs="Arial"/>
        </w:rPr>
        <w:t xml:space="preserve"> (a) </w:t>
      </w:r>
      <w:proofErr w:type="spellStart"/>
      <w:r w:rsidRPr="008839B9">
        <w:rPr>
          <w:rFonts w:ascii="Arial" w:hAnsi="Arial" w:cs="Arial"/>
        </w:rPr>
        <w:t>pireno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0,0007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Tri-cloroetileno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cero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Etil</w:t>
      </w:r>
      <w:proofErr w:type="spellEnd"/>
      <w:r w:rsidRPr="008839B9">
        <w:rPr>
          <w:rFonts w:ascii="Arial" w:hAnsi="Arial" w:cs="Arial"/>
        </w:rPr>
        <w:t xml:space="preserve">- </w:t>
      </w:r>
      <w:proofErr w:type="spellStart"/>
      <w:r w:rsidRPr="008839B9">
        <w:rPr>
          <w:rFonts w:ascii="Arial" w:hAnsi="Arial" w:cs="Arial"/>
        </w:rPr>
        <w:t>benzeno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cero</w:t>
      </w:r>
    </w:p>
    <w:p w:rsidR="00392F32" w:rsidRPr="008839B9" w:rsidRDefault="00392F32" w:rsidP="00392F32">
      <w:pPr>
        <w:jc w:val="both"/>
        <w:rPr>
          <w:rFonts w:ascii="Arial" w:hAnsi="Arial" w:cs="Arial"/>
          <w:b/>
        </w:rPr>
      </w:pPr>
    </w:p>
    <w:p w:rsidR="00392F32" w:rsidRPr="008839B9" w:rsidRDefault="00392F32" w:rsidP="00392F32">
      <w:pPr>
        <w:jc w:val="both"/>
        <w:rPr>
          <w:rFonts w:ascii="Arial" w:hAnsi="Arial" w:cs="Arial"/>
          <w:b/>
        </w:rPr>
      </w:pPr>
      <w:r w:rsidRPr="008839B9">
        <w:rPr>
          <w:rFonts w:ascii="Arial" w:hAnsi="Arial" w:cs="Arial"/>
          <w:b/>
        </w:rPr>
        <w:t xml:space="preserve">Art. 5: Para aguas de Clase 4, son establecidos los </w:t>
      </w:r>
      <w:proofErr w:type="gramStart"/>
      <w:r w:rsidRPr="008839B9">
        <w:rPr>
          <w:rFonts w:ascii="Arial" w:hAnsi="Arial" w:cs="Arial"/>
          <w:b/>
        </w:rPr>
        <w:t>limites</w:t>
      </w:r>
      <w:proofErr w:type="gramEnd"/>
      <w:r w:rsidRPr="008839B9">
        <w:rPr>
          <w:rFonts w:ascii="Arial" w:hAnsi="Arial" w:cs="Arial"/>
          <w:b/>
        </w:rPr>
        <w:t xml:space="preserve"> en las condiciones siguientes</w:t>
      </w:r>
    </w:p>
    <w:p w:rsidR="00392F32" w:rsidRPr="008839B9" w:rsidRDefault="00392F32" w:rsidP="00392F32">
      <w:pPr>
        <w:jc w:val="both"/>
        <w:rPr>
          <w:rFonts w:ascii="Arial" w:hAnsi="Arial" w:cs="Arial"/>
          <w:b/>
        </w:rPr>
      </w:pPr>
    </w:p>
    <w:p w:rsidR="00392F32" w:rsidRPr="008839B9" w:rsidRDefault="00392F32" w:rsidP="00392F3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Materias fluctuantes, inclusive espumas no naturales: virtualmente ausentes</w:t>
      </w:r>
    </w:p>
    <w:p w:rsidR="00392F32" w:rsidRPr="008839B9" w:rsidRDefault="00392F32" w:rsidP="00392F3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Color y aspecto: no objetables</w:t>
      </w:r>
    </w:p>
    <w:p w:rsidR="00392F32" w:rsidRPr="008839B9" w:rsidRDefault="00392F32" w:rsidP="00392F3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Aceites y grasas; se toleran trazas</w:t>
      </w:r>
    </w:p>
    <w:p w:rsidR="00392F32" w:rsidRPr="008839B9" w:rsidRDefault="00392F32" w:rsidP="00392F3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Substancias fácilmente </w:t>
      </w:r>
      <w:proofErr w:type="spellStart"/>
      <w:r w:rsidRPr="008839B9">
        <w:rPr>
          <w:rFonts w:ascii="Arial" w:hAnsi="Arial" w:cs="Arial"/>
        </w:rPr>
        <w:t>sedimentables</w:t>
      </w:r>
      <w:proofErr w:type="spellEnd"/>
      <w:r w:rsidRPr="008839B9">
        <w:rPr>
          <w:rFonts w:ascii="Arial" w:hAnsi="Arial" w:cs="Arial"/>
        </w:rPr>
        <w:t xml:space="preserve"> que contribuyan la colmatación e impidan la libre navegación : virtualmente ausentes</w:t>
      </w:r>
    </w:p>
    <w:p w:rsidR="00392F32" w:rsidRPr="008839B9" w:rsidRDefault="00392F32" w:rsidP="00392F3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Índice de fenoles; hasta 1 mg/l</w:t>
      </w:r>
    </w:p>
    <w:p w:rsidR="00392F32" w:rsidRPr="008839B9" w:rsidRDefault="00392F32" w:rsidP="00392F3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OD: superior a 2 mg/l</w:t>
      </w:r>
    </w:p>
    <w:p w:rsidR="00392F32" w:rsidRPr="008839B9" w:rsidRDefault="00392F32" w:rsidP="00392F32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Ph</w:t>
      </w:r>
      <w:proofErr w:type="spellEnd"/>
      <w:r w:rsidRPr="008839B9">
        <w:rPr>
          <w:rFonts w:ascii="Arial" w:hAnsi="Arial" w:cs="Arial"/>
        </w:rPr>
        <w:t xml:space="preserve"> 6-9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lastRenderedPageBreak/>
        <w:t>Art. 6° Las aguas destinadas a usos de recreación de contacto primario, serán encuadradas y tendrán su condición avaladas en Excelentes, Muy Buena, Satisfactoria, No apta de la siguiente forma.</w:t>
      </w:r>
    </w:p>
    <w:p w:rsidR="00392F32" w:rsidRPr="008839B9" w:rsidRDefault="00392F32" w:rsidP="00392F32">
      <w:pPr>
        <w:jc w:val="both"/>
        <w:rPr>
          <w:rFonts w:ascii="Arial" w:hAnsi="Arial" w:cs="Arial"/>
        </w:rPr>
      </w:pPr>
    </w:p>
    <w:p w:rsidR="00392F32" w:rsidRPr="008839B9" w:rsidRDefault="00392F32" w:rsidP="00392F3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Excelente: Cuando en 80 % o </w:t>
      </w:r>
      <w:proofErr w:type="spellStart"/>
      <w:r w:rsidRPr="008839B9">
        <w:rPr>
          <w:rFonts w:ascii="Arial" w:hAnsi="Arial" w:cs="Arial"/>
        </w:rPr>
        <w:t>mas</w:t>
      </w:r>
      <w:proofErr w:type="spellEnd"/>
      <w:r w:rsidRPr="008839B9">
        <w:rPr>
          <w:rFonts w:ascii="Arial" w:hAnsi="Arial" w:cs="Arial"/>
        </w:rPr>
        <w:t xml:space="preserve"> de un conjunto de muestras obtenidas en cada una de las 5 semanas, la presencia de coniformes fecales es nulo.</w:t>
      </w:r>
    </w:p>
    <w:p w:rsidR="00392F32" w:rsidRPr="008839B9" w:rsidRDefault="00392F32" w:rsidP="00392F3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Muy buena; Cuando en 80% o </w:t>
      </w:r>
      <w:proofErr w:type="spellStart"/>
      <w:r w:rsidRPr="008839B9">
        <w:rPr>
          <w:rFonts w:ascii="Arial" w:hAnsi="Arial" w:cs="Arial"/>
        </w:rPr>
        <w:t>mas</w:t>
      </w:r>
      <w:proofErr w:type="spellEnd"/>
      <w:r w:rsidRPr="008839B9">
        <w:rPr>
          <w:rFonts w:ascii="Arial" w:hAnsi="Arial" w:cs="Arial"/>
        </w:rPr>
        <w:t xml:space="preserve"> de u conjunto de muestras obtenidas en cada una de las 5 semanas, hubiera, en un máximo de 250 </w:t>
      </w:r>
      <w:proofErr w:type="spellStart"/>
      <w:r w:rsidRPr="008839B9">
        <w:rPr>
          <w:rFonts w:ascii="Arial" w:hAnsi="Arial" w:cs="Arial"/>
        </w:rPr>
        <w:t>coliformes</w:t>
      </w:r>
      <w:proofErr w:type="spellEnd"/>
      <w:r w:rsidRPr="008839B9">
        <w:rPr>
          <w:rFonts w:ascii="Arial" w:hAnsi="Arial" w:cs="Arial"/>
        </w:rPr>
        <w:t xml:space="preserve"> fecales por 100 ml.</w:t>
      </w:r>
    </w:p>
    <w:p w:rsidR="00392F32" w:rsidRPr="008839B9" w:rsidRDefault="00392F32" w:rsidP="00392F3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Satisfactorias: Cuando en 80% o </w:t>
      </w:r>
      <w:proofErr w:type="spellStart"/>
      <w:proofErr w:type="gramStart"/>
      <w:r w:rsidRPr="008839B9">
        <w:rPr>
          <w:rFonts w:ascii="Arial" w:hAnsi="Arial" w:cs="Arial"/>
        </w:rPr>
        <w:t>mas</w:t>
      </w:r>
      <w:proofErr w:type="spellEnd"/>
      <w:proofErr w:type="gramEnd"/>
      <w:r w:rsidRPr="008839B9">
        <w:rPr>
          <w:rFonts w:ascii="Arial" w:hAnsi="Arial" w:cs="Arial"/>
        </w:rPr>
        <w:t xml:space="preserve"> de un conjunto de muestras en cada una de las 5 semanas, hubiera, en un máximo 1000 </w:t>
      </w:r>
      <w:proofErr w:type="spellStart"/>
      <w:r w:rsidRPr="008839B9">
        <w:rPr>
          <w:rFonts w:ascii="Arial" w:hAnsi="Arial" w:cs="Arial"/>
        </w:rPr>
        <w:t>coliformes</w:t>
      </w:r>
      <w:proofErr w:type="spellEnd"/>
      <w:r w:rsidRPr="008839B9">
        <w:rPr>
          <w:rFonts w:ascii="Arial" w:hAnsi="Arial" w:cs="Arial"/>
        </w:rPr>
        <w:t xml:space="preserve"> fecales por 100 ml.</w:t>
      </w:r>
    </w:p>
    <w:p w:rsidR="00392F32" w:rsidRPr="008839B9" w:rsidRDefault="00392F32" w:rsidP="00392F3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No Apta: Cuando ocurriera, cualquier de las circunstancias:</w:t>
      </w:r>
    </w:p>
    <w:p w:rsidR="00392F32" w:rsidRPr="008839B9" w:rsidRDefault="00392F32" w:rsidP="00392F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El padrón  de ninguna de las categorías citadas anteriormente</w:t>
      </w:r>
    </w:p>
    <w:p w:rsidR="00392F32" w:rsidRPr="008839B9" w:rsidRDefault="00392F32" w:rsidP="00392F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Si ocurriera en la región incidencia relativamente elevada o anormal de enfermedades transmisibles por vía hídrica, a criterio de las autoridades.</w:t>
      </w:r>
    </w:p>
    <w:p w:rsidR="00392F32" w:rsidRPr="008839B9" w:rsidRDefault="00392F32" w:rsidP="00392F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Señales de polución por aguas negras y otros residuos, perceptibles </w:t>
      </w:r>
      <w:proofErr w:type="spellStart"/>
      <w:r w:rsidRPr="008839B9">
        <w:rPr>
          <w:rFonts w:ascii="Arial" w:hAnsi="Arial" w:cs="Arial"/>
        </w:rPr>
        <w:t>organolecticamente</w:t>
      </w:r>
      <w:proofErr w:type="spellEnd"/>
      <w:r w:rsidRPr="008839B9">
        <w:rPr>
          <w:rFonts w:ascii="Arial" w:hAnsi="Arial" w:cs="Arial"/>
        </w:rPr>
        <w:t>.</w:t>
      </w:r>
    </w:p>
    <w:p w:rsidR="00392F32" w:rsidRPr="008839B9" w:rsidRDefault="00392F32" w:rsidP="00392F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Presencia en las aguas, de moluscos transmisores potenciales de </w:t>
      </w:r>
      <w:proofErr w:type="spellStart"/>
      <w:r w:rsidRPr="008839B9">
        <w:rPr>
          <w:rFonts w:ascii="Arial" w:hAnsi="Arial" w:cs="Arial"/>
        </w:rPr>
        <w:t>equistomiasis</w:t>
      </w:r>
      <w:proofErr w:type="spellEnd"/>
    </w:p>
    <w:p w:rsidR="00392F32" w:rsidRPr="008839B9" w:rsidRDefault="00392F32" w:rsidP="00392F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Presencia en las aguas, de parásitos e insectos vectores de dolencias transmisibles.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Art. 7° Los efluentes de cualquier fuente </w:t>
      </w:r>
      <w:proofErr w:type="spellStart"/>
      <w:r w:rsidRPr="008839B9">
        <w:rPr>
          <w:rFonts w:ascii="Arial" w:hAnsi="Arial" w:cs="Arial"/>
        </w:rPr>
        <w:t>poluidora</w:t>
      </w:r>
      <w:proofErr w:type="spellEnd"/>
      <w:r w:rsidRPr="008839B9">
        <w:rPr>
          <w:rFonts w:ascii="Arial" w:hAnsi="Arial" w:cs="Arial"/>
        </w:rPr>
        <w:t xml:space="preserve"> solamente podrán ser alcanzados, directa e indirectamente, en los cuerpos de las aguas obedeciendo las siguientes condiciones y los criterios establecidos en la clasificación del cuerpo receptor</w:t>
      </w:r>
    </w:p>
    <w:p w:rsidR="00392F32" w:rsidRPr="008839B9" w:rsidRDefault="00392F32" w:rsidP="00392F32">
      <w:pPr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8839B9">
        <w:rPr>
          <w:rFonts w:ascii="Arial" w:hAnsi="Arial" w:cs="Arial"/>
        </w:rPr>
        <w:t>ph</w:t>
      </w:r>
      <w:proofErr w:type="spellEnd"/>
      <w:r w:rsidRPr="008839B9">
        <w:rPr>
          <w:rFonts w:ascii="Arial" w:hAnsi="Arial" w:cs="Arial"/>
        </w:rPr>
        <w:t xml:space="preserve"> entre 5 a 9</w:t>
      </w:r>
    </w:p>
    <w:p w:rsidR="00392F32" w:rsidRPr="008839B9" w:rsidRDefault="00392F32" w:rsidP="00392F3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DBO 5d 20° C, inferior a 50 mg/l</w:t>
      </w:r>
    </w:p>
    <w:p w:rsidR="00392F32" w:rsidRPr="008839B9" w:rsidRDefault="00392F32" w:rsidP="00392F3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DQO, inferior a 150 mg/l</w:t>
      </w:r>
    </w:p>
    <w:p w:rsidR="00392F32" w:rsidRPr="008839B9" w:rsidRDefault="00392F32" w:rsidP="00392F3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Temperatura, inferior a 40° C, siendo que elevación de temperatura del cuerpo receptor no deberá exceder a 3 °C</w:t>
      </w:r>
    </w:p>
    <w:p w:rsidR="00392F32" w:rsidRPr="008839B9" w:rsidRDefault="00392F32" w:rsidP="00392F3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 Materias </w:t>
      </w:r>
      <w:proofErr w:type="spellStart"/>
      <w:r w:rsidRPr="008839B9">
        <w:rPr>
          <w:rFonts w:ascii="Arial" w:hAnsi="Arial" w:cs="Arial"/>
        </w:rPr>
        <w:t>sedimentables</w:t>
      </w:r>
      <w:proofErr w:type="spellEnd"/>
      <w:r w:rsidRPr="008839B9">
        <w:rPr>
          <w:rFonts w:ascii="Arial" w:hAnsi="Arial" w:cs="Arial"/>
        </w:rPr>
        <w:t xml:space="preserve">, hasta 1 ml/l en test de 1 hora como </w:t>
      </w:r>
      <w:proofErr w:type="spellStart"/>
      <w:r w:rsidRPr="008839B9">
        <w:rPr>
          <w:rFonts w:ascii="Arial" w:hAnsi="Arial" w:cs="Arial"/>
        </w:rPr>
        <w:t>Imhoff</w:t>
      </w:r>
      <w:proofErr w:type="spellEnd"/>
    </w:p>
    <w:p w:rsidR="00392F32" w:rsidRPr="008839B9" w:rsidRDefault="00392F32" w:rsidP="00392F3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régimen de lanzamiento con caudal máximo de hasta 1,5 veces a razón media del periodo critico</w:t>
      </w:r>
    </w:p>
    <w:p w:rsidR="00392F32" w:rsidRPr="008839B9" w:rsidRDefault="00392F32" w:rsidP="00392F3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Aceites y grasas</w:t>
      </w:r>
    </w:p>
    <w:p w:rsidR="00392F32" w:rsidRPr="008839B9" w:rsidRDefault="00392F32" w:rsidP="00392F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aceites minerales hasta 20 mg/l</w:t>
      </w:r>
    </w:p>
    <w:p w:rsidR="00392F32" w:rsidRPr="008839B9" w:rsidRDefault="00392F32" w:rsidP="00392F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aceites vegetales e grasas animal hasta 50 mg/l</w:t>
      </w:r>
    </w:p>
    <w:p w:rsidR="00392F32" w:rsidRPr="008839B9" w:rsidRDefault="00392F32" w:rsidP="00392F3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ausencia de materias flotantes</w:t>
      </w:r>
    </w:p>
    <w:p w:rsidR="00392F32" w:rsidRPr="008839B9" w:rsidRDefault="00392F32" w:rsidP="00392F3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valores máximos admisibles en las siguientes sustancias (mg/l)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- </w:t>
      </w:r>
      <w:proofErr w:type="spellStart"/>
      <w:r w:rsidRPr="008839B9">
        <w:rPr>
          <w:rFonts w:ascii="Arial" w:hAnsi="Arial" w:cs="Arial"/>
        </w:rPr>
        <w:t>Amonia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5,0 N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Arsénico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0,5 As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Bario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5,0 Ba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Boro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 xml:space="preserve">5,0 </w:t>
      </w:r>
      <w:proofErr w:type="spellStart"/>
      <w:r w:rsidRPr="008839B9">
        <w:rPr>
          <w:rFonts w:ascii="Arial" w:hAnsi="Arial" w:cs="Arial"/>
        </w:rPr>
        <w:t>Bo</w:t>
      </w:r>
      <w:proofErr w:type="spellEnd"/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Cadmio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0,2 Cd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Cianatos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0,2 CN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Plomo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0,5 Pb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Cobre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1,0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lastRenderedPageBreak/>
        <w:t>- Cromo Hexavalente</w:t>
      </w:r>
      <w:r w:rsidRPr="008839B9">
        <w:rPr>
          <w:rFonts w:ascii="Arial" w:hAnsi="Arial" w:cs="Arial"/>
        </w:rPr>
        <w:tab/>
        <w:t>0,5 Cr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Cromo Trivalente</w:t>
      </w:r>
      <w:r w:rsidRPr="008839B9">
        <w:rPr>
          <w:rFonts w:ascii="Arial" w:hAnsi="Arial" w:cs="Arial"/>
        </w:rPr>
        <w:tab/>
        <w:t>2,0  Cr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Estaño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4,0 Sn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Índice de Fenoles</w:t>
      </w:r>
      <w:r w:rsidRPr="008839B9">
        <w:rPr>
          <w:rFonts w:ascii="Arial" w:hAnsi="Arial" w:cs="Arial"/>
        </w:rPr>
        <w:tab/>
        <w:t>0,5 C6H5OH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Fierro Soluble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15 mg/l Fe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Manganeso soluble</w:t>
      </w:r>
      <w:r w:rsidRPr="008839B9">
        <w:rPr>
          <w:rFonts w:ascii="Arial" w:hAnsi="Arial" w:cs="Arial"/>
        </w:rPr>
        <w:tab/>
        <w:t>1,0 Mn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Mercurio total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0,01 Hg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- </w:t>
      </w:r>
      <w:proofErr w:type="spellStart"/>
      <w:r w:rsidRPr="008839B9">
        <w:rPr>
          <w:rFonts w:ascii="Arial" w:hAnsi="Arial" w:cs="Arial"/>
        </w:rPr>
        <w:t>Niquel</w:t>
      </w:r>
      <w:proofErr w:type="spellEnd"/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2,0 Ni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Plata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0,1 Ag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Selenio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0,05 S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Sulfatos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0,05 Se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Zinc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5,0 Zn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- </w:t>
      </w:r>
      <w:proofErr w:type="spellStart"/>
      <w:r w:rsidRPr="008839B9">
        <w:rPr>
          <w:rFonts w:ascii="Arial" w:hAnsi="Arial" w:cs="Arial"/>
        </w:rPr>
        <w:t>Nitrogeno</w:t>
      </w:r>
      <w:proofErr w:type="spellEnd"/>
      <w:r w:rsidRPr="008839B9">
        <w:rPr>
          <w:rFonts w:ascii="Arial" w:hAnsi="Arial" w:cs="Arial"/>
        </w:rPr>
        <w:t xml:space="preserve"> Total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40 N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- Fosforo total</w:t>
      </w:r>
      <w:r w:rsidRPr="008839B9">
        <w:rPr>
          <w:rFonts w:ascii="Arial" w:hAnsi="Arial" w:cs="Arial"/>
        </w:rPr>
        <w:tab/>
      </w:r>
      <w:r w:rsidRPr="008839B9">
        <w:rPr>
          <w:rFonts w:ascii="Arial" w:hAnsi="Arial" w:cs="Arial"/>
        </w:rPr>
        <w:tab/>
        <w:t>4 P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- </w:t>
      </w:r>
      <w:proofErr w:type="spellStart"/>
      <w:r w:rsidRPr="008839B9">
        <w:rPr>
          <w:rFonts w:ascii="Arial" w:hAnsi="Arial" w:cs="Arial"/>
        </w:rPr>
        <w:t>Coliformes</w:t>
      </w:r>
      <w:proofErr w:type="spellEnd"/>
      <w:r w:rsidRPr="008839B9">
        <w:rPr>
          <w:rFonts w:ascii="Arial" w:hAnsi="Arial" w:cs="Arial"/>
        </w:rPr>
        <w:t xml:space="preserve"> fecales</w:t>
      </w:r>
      <w:r w:rsidRPr="008839B9">
        <w:rPr>
          <w:rFonts w:ascii="Arial" w:hAnsi="Arial" w:cs="Arial"/>
        </w:rPr>
        <w:tab/>
        <w:t>4000 NMP/100ml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Compuestos </w:t>
      </w:r>
      <w:proofErr w:type="spellStart"/>
      <w:r w:rsidRPr="008839B9">
        <w:rPr>
          <w:rFonts w:ascii="Arial" w:hAnsi="Arial" w:cs="Arial"/>
        </w:rPr>
        <w:t>xenobióticos</w:t>
      </w:r>
      <w:proofErr w:type="spellEnd"/>
      <w:r w:rsidRPr="008839B9">
        <w:rPr>
          <w:rFonts w:ascii="Arial" w:hAnsi="Arial" w:cs="Arial"/>
        </w:rPr>
        <w:t xml:space="preserve"> que causan toxicidad según criterios de la SEAM: </w:t>
      </w:r>
      <w:proofErr w:type="spellStart"/>
      <w:proofErr w:type="gramStart"/>
      <w:r w:rsidRPr="008839B9">
        <w:rPr>
          <w:rFonts w:ascii="Arial" w:hAnsi="Arial" w:cs="Arial"/>
        </w:rPr>
        <w:t>limites</w:t>
      </w:r>
      <w:proofErr w:type="spellEnd"/>
      <w:proofErr w:type="gramEnd"/>
      <w:r w:rsidRPr="008839B9">
        <w:rPr>
          <w:rFonts w:ascii="Arial" w:hAnsi="Arial" w:cs="Arial"/>
        </w:rPr>
        <w:t xml:space="preserve"> establecidos internacionalmente.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Art. 8° No será permitida la disolución de </w:t>
      </w:r>
      <w:proofErr w:type="gramStart"/>
      <w:r w:rsidRPr="008839B9">
        <w:rPr>
          <w:rFonts w:ascii="Arial" w:hAnsi="Arial" w:cs="Arial"/>
        </w:rPr>
        <w:t>efluente industriales</w:t>
      </w:r>
      <w:proofErr w:type="gramEnd"/>
      <w:r w:rsidRPr="008839B9">
        <w:rPr>
          <w:rFonts w:ascii="Arial" w:hAnsi="Arial" w:cs="Arial"/>
        </w:rPr>
        <w:t xml:space="preserve"> con aguas no </w:t>
      </w:r>
      <w:proofErr w:type="spellStart"/>
      <w:r w:rsidRPr="008839B9">
        <w:rPr>
          <w:rFonts w:ascii="Arial" w:hAnsi="Arial" w:cs="Arial"/>
        </w:rPr>
        <w:t>poluidas</w:t>
      </w:r>
      <w:proofErr w:type="spellEnd"/>
      <w:r w:rsidRPr="008839B9">
        <w:rPr>
          <w:rFonts w:ascii="Arial" w:hAnsi="Arial" w:cs="Arial"/>
        </w:rPr>
        <w:t>.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Art. 9°  Los efluentes deberán adecuar prioritariamente en los términos de esta resolución con relación a la característica del cuerpo receptor.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Párrafo único: Resguardados los padrones de calidad del cuerpo receptor, demostrando por estudio de auto depuración realizado por la entidad responsable, la SEAM podrá autorizar el vertido por encima de los </w:t>
      </w:r>
      <w:proofErr w:type="spellStart"/>
      <w:r w:rsidRPr="008839B9">
        <w:rPr>
          <w:rFonts w:ascii="Arial" w:hAnsi="Arial" w:cs="Arial"/>
        </w:rPr>
        <w:t>limites</w:t>
      </w:r>
      <w:proofErr w:type="spellEnd"/>
      <w:r w:rsidRPr="008839B9">
        <w:rPr>
          <w:rFonts w:ascii="Arial" w:hAnsi="Arial" w:cs="Arial"/>
        </w:rPr>
        <w:t xml:space="preserve"> establecidos en el Art. 7 dependiendo del tipo de tratamiento y las condiciones adecuadas para la operación.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Art. 10° Los padrones de las aguas establecidas en esta resolución constituyen los </w:t>
      </w:r>
      <w:proofErr w:type="gramStart"/>
      <w:r w:rsidRPr="008839B9">
        <w:rPr>
          <w:rFonts w:ascii="Arial" w:hAnsi="Arial" w:cs="Arial"/>
        </w:rPr>
        <w:t>limites</w:t>
      </w:r>
      <w:proofErr w:type="gramEnd"/>
      <w:r w:rsidRPr="008839B9">
        <w:rPr>
          <w:rFonts w:ascii="Arial" w:hAnsi="Arial" w:cs="Arial"/>
        </w:rPr>
        <w:t xml:space="preserve"> individuales para cada sustancia. Eventuales acciones cinegéticas entre las mismas, deben ser evaluadas a través de </w:t>
      </w:r>
      <w:proofErr w:type="spellStart"/>
      <w:r w:rsidRPr="008839B9">
        <w:rPr>
          <w:rFonts w:ascii="Arial" w:hAnsi="Arial" w:cs="Arial"/>
        </w:rPr>
        <w:t>bio</w:t>
      </w:r>
      <w:proofErr w:type="spellEnd"/>
      <w:r w:rsidRPr="008839B9">
        <w:rPr>
          <w:rFonts w:ascii="Arial" w:hAnsi="Arial" w:cs="Arial"/>
        </w:rPr>
        <w:t>-ensayos y otros procesos que son capaces de detectar los efectos de estas acciones, dependiendo de la necesidad de esclarecer.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Art. 11° En función a la recomendación de la OMS (Organización Mundial de la Salud- 1999) sugiere la realización de riguroso acompañamiento del lago eutrofizado para la protección y salud de usuarios (</w:t>
      </w:r>
      <w:proofErr w:type="spellStart"/>
      <w:r w:rsidRPr="008839B9">
        <w:rPr>
          <w:rFonts w:ascii="Arial" w:hAnsi="Arial" w:cs="Arial"/>
        </w:rPr>
        <w:t>balneabilidad</w:t>
      </w:r>
      <w:proofErr w:type="spellEnd"/>
      <w:r w:rsidRPr="008839B9">
        <w:rPr>
          <w:rFonts w:ascii="Arial" w:hAnsi="Arial" w:cs="Arial"/>
        </w:rPr>
        <w:t xml:space="preserve"> y abastecimiento público) cuando pase el número  de células de </w:t>
      </w:r>
      <w:proofErr w:type="spellStart"/>
      <w:r w:rsidRPr="008839B9">
        <w:rPr>
          <w:rFonts w:ascii="Arial" w:hAnsi="Arial" w:cs="Arial"/>
        </w:rPr>
        <w:t>cianobacteria</w:t>
      </w:r>
      <w:proofErr w:type="spellEnd"/>
      <w:r w:rsidRPr="008839B9">
        <w:rPr>
          <w:rFonts w:ascii="Arial" w:hAnsi="Arial" w:cs="Arial"/>
        </w:rPr>
        <w:t xml:space="preserve"> 100.000 por ml.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Art. 12° Los limites de DBO, establecidos para clase 2 y 3, podrán ser elevados, en caso de que se presente el estudio de capacidad de auto depuración del cuerpo receptor y se demuestre que lo tenores mínimos de Oxigeno disuelto OD, previstos, no serán cumplidos en ningún punto del mismo, en las condiciones </w:t>
      </w:r>
      <w:proofErr w:type="spellStart"/>
      <w:r w:rsidRPr="008839B9">
        <w:rPr>
          <w:rFonts w:ascii="Arial" w:hAnsi="Arial" w:cs="Arial"/>
        </w:rPr>
        <w:t>criticas</w:t>
      </w:r>
      <w:proofErr w:type="spellEnd"/>
      <w:r w:rsidRPr="008839B9">
        <w:rPr>
          <w:rFonts w:ascii="Arial" w:hAnsi="Arial" w:cs="Arial"/>
        </w:rPr>
        <w:t xml:space="preserve"> del caudal Q 7.10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Art. 13° Colectas de muestras de agua y sus respectivos análisis deberán ser efectuadas, según las metodologías internacionalmente reconocidas, como por ejemplo, normas publicadas por la ISO (Internacional </w:t>
      </w:r>
      <w:proofErr w:type="spellStart"/>
      <w:r w:rsidRPr="008839B9">
        <w:rPr>
          <w:rFonts w:ascii="Arial" w:hAnsi="Arial" w:cs="Arial"/>
        </w:rPr>
        <w:lastRenderedPageBreak/>
        <w:t>Standartization</w:t>
      </w:r>
      <w:proofErr w:type="spellEnd"/>
      <w:r w:rsidRPr="008839B9">
        <w:rPr>
          <w:rFonts w:ascii="Arial" w:hAnsi="Arial" w:cs="Arial"/>
        </w:rPr>
        <w:t xml:space="preserve"> </w:t>
      </w:r>
      <w:proofErr w:type="spellStart"/>
      <w:r w:rsidRPr="008839B9">
        <w:rPr>
          <w:rFonts w:ascii="Arial" w:hAnsi="Arial" w:cs="Arial"/>
        </w:rPr>
        <w:t>Organization</w:t>
      </w:r>
      <w:proofErr w:type="spellEnd"/>
      <w:r w:rsidRPr="008839B9">
        <w:rPr>
          <w:rFonts w:ascii="Arial" w:hAnsi="Arial" w:cs="Arial"/>
        </w:rPr>
        <w:t xml:space="preserve">) y el Standard </w:t>
      </w:r>
      <w:proofErr w:type="spellStart"/>
      <w:r w:rsidRPr="008839B9">
        <w:rPr>
          <w:rFonts w:ascii="Arial" w:hAnsi="Arial" w:cs="Arial"/>
        </w:rPr>
        <w:t>Methods</w:t>
      </w:r>
      <w:proofErr w:type="spellEnd"/>
      <w:r w:rsidRPr="008839B9">
        <w:rPr>
          <w:rFonts w:ascii="Arial" w:hAnsi="Arial" w:cs="Arial"/>
        </w:rPr>
        <w:t xml:space="preserve"> </w:t>
      </w:r>
      <w:proofErr w:type="spellStart"/>
      <w:r w:rsidRPr="008839B9">
        <w:rPr>
          <w:rFonts w:ascii="Arial" w:hAnsi="Arial" w:cs="Arial"/>
        </w:rPr>
        <w:t>for</w:t>
      </w:r>
      <w:proofErr w:type="spellEnd"/>
      <w:r w:rsidRPr="008839B9">
        <w:rPr>
          <w:rFonts w:ascii="Arial" w:hAnsi="Arial" w:cs="Arial"/>
        </w:rPr>
        <w:t xml:space="preserve"> </w:t>
      </w:r>
      <w:proofErr w:type="spellStart"/>
      <w:r w:rsidRPr="008839B9">
        <w:rPr>
          <w:rFonts w:ascii="Arial" w:hAnsi="Arial" w:cs="Arial"/>
        </w:rPr>
        <w:t>the</w:t>
      </w:r>
      <w:proofErr w:type="spellEnd"/>
      <w:r w:rsidRPr="008839B9">
        <w:rPr>
          <w:rFonts w:ascii="Arial" w:hAnsi="Arial" w:cs="Arial"/>
        </w:rPr>
        <w:t xml:space="preserve"> </w:t>
      </w:r>
      <w:proofErr w:type="spellStart"/>
      <w:r w:rsidRPr="008839B9">
        <w:rPr>
          <w:rFonts w:ascii="Arial" w:hAnsi="Arial" w:cs="Arial"/>
        </w:rPr>
        <w:t>Examination</w:t>
      </w:r>
      <w:proofErr w:type="spellEnd"/>
      <w:r w:rsidRPr="008839B9">
        <w:rPr>
          <w:rFonts w:ascii="Arial" w:hAnsi="Arial" w:cs="Arial"/>
        </w:rPr>
        <w:t xml:space="preserve"> of </w:t>
      </w:r>
      <w:proofErr w:type="spellStart"/>
      <w:r w:rsidRPr="008839B9">
        <w:rPr>
          <w:rFonts w:ascii="Arial" w:hAnsi="Arial" w:cs="Arial"/>
        </w:rPr>
        <w:t>Water</w:t>
      </w:r>
      <w:proofErr w:type="spellEnd"/>
      <w:r w:rsidRPr="008839B9">
        <w:rPr>
          <w:rFonts w:ascii="Arial" w:hAnsi="Arial" w:cs="Arial"/>
        </w:rPr>
        <w:t xml:space="preserve"> and </w:t>
      </w:r>
      <w:proofErr w:type="spellStart"/>
      <w:r w:rsidRPr="008839B9">
        <w:rPr>
          <w:rFonts w:ascii="Arial" w:hAnsi="Arial" w:cs="Arial"/>
        </w:rPr>
        <w:t>Wastewater</w:t>
      </w:r>
      <w:proofErr w:type="spellEnd"/>
      <w:r w:rsidRPr="008839B9">
        <w:rPr>
          <w:rFonts w:ascii="Arial" w:hAnsi="Arial" w:cs="Arial"/>
        </w:rPr>
        <w:t xml:space="preserve">- APHA-AWWA-WPCF de la </w:t>
      </w:r>
      <w:proofErr w:type="spellStart"/>
      <w:r w:rsidRPr="008839B9">
        <w:rPr>
          <w:rFonts w:ascii="Arial" w:hAnsi="Arial" w:cs="Arial"/>
        </w:rPr>
        <w:t>ultima</w:t>
      </w:r>
      <w:proofErr w:type="spellEnd"/>
      <w:r w:rsidRPr="008839B9">
        <w:rPr>
          <w:rFonts w:ascii="Arial" w:hAnsi="Arial" w:cs="Arial"/>
        </w:rPr>
        <w:t xml:space="preserve"> edición)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Art. 14° Después de la publicación de esta reglamentación, los laboratorios competentes deberán ser adecuados, para atender a pleno la ejecución de los </w:t>
      </w:r>
      <w:proofErr w:type="spellStart"/>
      <w:r w:rsidRPr="008839B9">
        <w:rPr>
          <w:rFonts w:ascii="Arial" w:hAnsi="Arial" w:cs="Arial"/>
        </w:rPr>
        <w:t>analisis</w:t>
      </w:r>
      <w:proofErr w:type="spellEnd"/>
      <w:r w:rsidRPr="008839B9">
        <w:rPr>
          <w:rFonts w:ascii="Arial" w:hAnsi="Arial" w:cs="Arial"/>
        </w:rPr>
        <w:t xml:space="preserve"> y </w:t>
      </w:r>
      <w:proofErr w:type="spellStart"/>
      <w:r w:rsidRPr="008839B9">
        <w:rPr>
          <w:rFonts w:ascii="Arial" w:hAnsi="Arial" w:cs="Arial"/>
        </w:rPr>
        <w:t>examenes</w:t>
      </w:r>
      <w:proofErr w:type="spellEnd"/>
      <w:r w:rsidRPr="008839B9">
        <w:rPr>
          <w:rFonts w:ascii="Arial" w:hAnsi="Arial" w:cs="Arial"/>
        </w:rPr>
        <w:t xml:space="preserve"> constantes en los padrones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Art. 15° En las aguas de clase I no serán tolerados lanzamiento de aguas residuales de origen doméstico e industriales bien como cualquier substancia potencialmente tóxica.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Art. 16° En base a los usos y calidad fijada en los padrones de esta Resolución, la SEAM efectuara la clasificación de todos los sistemas hídricos del Territorio Nacional.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Art. 17° A fin de efectuar la clasificación y preservación de la calidad del agua compatible con las respectivas clases, serán realizadas </w:t>
      </w:r>
      <w:proofErr w:type="spellStart"/>
      <w:r w:rsidRPr="008839B9">
        <w:rPr>
          <w:rFonts w:ascii="Arial" w:hAnsi="Arial" w:cs="Arial"/>
        </w:rPr>
        <w:t>monitoramientos</w:t>
      </w:r>
      <w:proofErr w:type="spellEnd"/>
      <w:r w:rsidRPr="008839B9">
        <w:rPr>
          <w:rFonts w:ascii="Arial" w:hAnsi="Arial" w:cs="Arial"/>
        </w:rPr>
        <w:t xml:space="preserve"> en puntos escogidos estratégicamente y los resultados obtenidos serán publicados.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Art. 18° El cuerpo de agua conforme a su clasificación, que presenten condiciones en desacuerdo al padrón establecido, será objeto de disposiciones con plazos determinados fijando su recuperación para atender usos preponderantes de este recurso hídrico.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Art. 19° Los parámetros de calidad de las aguas y sus </w:t>
      </w:r>
      <w:proofErr w:type="spellStart"/>
      <w:proofErr w:type="gramStart"/>
      <w:r w:rsidRPr="008839B9">
        <w:rPr>
          <w:rFonts w:ascii="Arial" w:hAnsi="Arial" w:cs="Arial"/>
        </w:rPr>
        <w:t>limites</w:t>
      </w:r>
      <w:proofErr w:type="spellEnd"/>
      <w:proofErr w:type="gramEnd"/>
      <w:r w:rsidRPr="008839B9">
        <w:rPr>
          <w:rFonts w:ascii="Arial" w:hAnsi="Arial" w:cs="Arial"/>
        </w:rPr>
        <w:t xml:space="preserve"> permisibles adoptados en esta Resolución deberán ser revisados periódicamente,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 xml:space="preserve">Art. 20° Comuníquese a quienes corresponda y cumplida </w:t>
      </w:r>
      <w:proofErr w:type="spellStart"/>
      <w:r w:rsidRPr="008839B9">
        <w:rPr>
          <w:rFonts w:ascii="Arial" w:hAnsi="Arial" w:cs="Arial"/>
        </w:rPr>
        <w:t>archivese</w:t>
      </w:r>
      <w:proofErr w:type="spellEnd"/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EDMUNDO ROLON OSNAGHI</w:t>
      </w:r>
    </w:p>
    <w:p w:rsidR="00392F32" w:rsidRPr="008839B9" w:rsidRDefault="00392F32" w:rsidP="00392F32">
      <w:pPr>
        <w:ind w:left="360"/>
        <w:jc w:val="both"/>
        <w:rPr>
          <w:rFonts w:ascii="Arial" w:hAnsi="Arial" w:cs="Arial"/>
        </w:rPr>
      </w:pPr>
      <w:r w:rsidRPr="008839B9">
        <w:rPr>
          <w:rFonts w:ascii="Arial" w:hAnsi="Arial" w:cs="Arial"/>
        </w:rPr>
        <w:t>Secretario Ejecutivo, Ministro</w:t>
      </w:r>
    </w:p>
    <w:p w:rsidR="00CB1F21" w:rsidRDefault="00CB1F21" w:rsidP="00392F32">
      <w:pPr>
        <w:ind w:firstLine="284"/>
      </w:pPr>
    </w:p>
    <w:sectPr w:rsidR="00CB1F21" w:rsidSect="00CB1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377"/>
    <w:multiLevelType w:val="hybridMultilevel"/>
    <w:tmpl w:val="6DCEED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9681E"/>
    <w:multiLevelType w:val="hybridMultilevel"/>
    <w:tmpl w:val="58ECDA66"/>
    <w:lvl w:ilvl="0" w:tplc="078E1A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612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040AA"/>
    <w:multiLevelType w:val="hybridMultilevel"/>
    <w:tmpl w:val="52E811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866B4"/>
    <w:multiLevelType w:val="hybridMultilevel"/>
    <w:tmpl w:val="7A20C43E"/>
    <w:lvl w:ilvl="0" w:tplc="69CA0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E5297"/>
    <w:multiLevelType w:val="hybridMultilevel"/>
    <w:tmpl w:val="3A065BF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5E50D5"/>
    <w:multiLevelType w:val="hybridMultilevel"/>
    <w:tmpl w:val="5712CE3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B6216A"/>
    <w:multiLevelType w:val="hybridMultilevel"/>
    <w:tmpl w:val="61D49A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92F32"/>
    <w:rsid w:val="00392F32"/>
    <w:rsid w:val="00C55CE9"/>
    <w:rsid w:val="00CB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2134</Words>
  <Characters>11743</Characters>
  <Application>Microsoft Office Word</Application>
  <DocSecurity>0</DocSecurity>
  <Lines>97</Lines>
  <Paragraphs>27</Paragraphs>
  <ScaleCrop>false</ScaleCrop>
  <Company>M&amp;D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M&amp;D</dc:creator>
  <cp:lastModifiedBy>windows7</cp:lastModifiedBy>
  <cp:revision>1</cp:revision>
  <dcterms:created xsi:type="dcterms:W3CDTF">2011-08-20T03:05:00Z</dcterms:created>
  <dcterms:modified xsi:type="dcterms:W3CDTF">2011-08-20T03:07:00Z</dcterms:modified>
</cp:coreProperties>
</file>